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560</w:t>
      </w:r>
    </w:p>
    <w:p>
      <w:r>
        <w:t>Bundesgericht (BGE), 1997-11-12, DE</w:t>
      </w:r>
    </w:p>
    <w:p>
      <w:r>
        <w:rPr>
          <w:b/>
        </w:rPr>
        <w:t xml:space="preserve">Quelle: </w:t>
      </w:r>
      <w:r>
        <w:t>https://mcp.opencaselaw.ch/entscheid/bge_123 II 560</w:t>
      </w:r>
    </w:p>
    <w:p>
      <w:r>
        <w:t>FR: ATF 123 II 560</w:t>
      </w:r>
    </w:p>
    <w:p>
      <w:r>
        <w:t>IT: DTF 123 II 560</w:t>
      </w:r>
    </w:p>
    <w:p>
      <w:pPr>
        <w:pStyle w:val="Heading2"/>
      </w:pPr>
      <w:r>
        <w:t>Regeste</w:t>
      </w:r>
    </w:p>
    <w:p>
      <w:r>
        <w:t>Regeste Art. 5 EntG, Art. 16 ff. USG; Enteignung nachbarrechtlicher Abwehransprüche bei sanierungspflichtigen öffentlichen Anlagen. Grundlagen und Entwicklung der bundesgerichtlichen Rechtsprechung zur Enteignung nachbarrechtlicher Abwehransprüche, insbesondere im Lichte der durch das Umweltschutzrecht des Bundes veränderten Rechtslage (E. 3). Vor Ablauf der gesetzlichen Sanierungsfrist kann der Betreiber einer die Immissionsgrenzwerte für Lärm übersteigenden öffentlichen Anlage grundsätzlich nicht zur Zahlung einer Entschädigung für die Enteignung nachbarrechtlicher Abwehransprüche verpflichtet werden (E. 4).</w:t>
      </w:r>
    </w:p>
    <w:p>
      <w:pPr>
        <w:pStyle w:val="Heading2"/>
      </w:pPr>
      <w:r>
        <w:t>Erwägungen</w:t>
      </w:r>
    </w:p>
    <w:p>
      <w:r>
        <w:rPr>
          <w:b/>
        </w:rPr>
        <w:t>E. 3</w:t>
      </w:r>
    </w:p>
    <w:p>
      <w:r>
        <w:t>Nach Auffassung des Kantons Luzern besteht kein Raum für die Enteignung nachbarrechtlicher Abwehransprüche, wenn eine Nationalstrasse Immissionen über dem Immissionsgrenzwert (IGW) verursacht und daher sanierungspflichtig ist. Wäre dem nicht so, meint der Kanton weiter, hätte der Anlageneigentümer zweimal zu bezahlen: zunächst für die Enteignung des nachbarrechtlichen Abwehranspruches, sodann für die Sanierungsaufwendungen (zu dieser Problematik HEINZ AEMISEGGER, Aktuelle Fragen des Lärmschutzrechts BGE 123 II 560 S. 564 in der Rechtsprechung des Bundesgerichts, Umweltrecht in der Praxis [URP] 1994 S. 447 f.). Solche Doppelzahlungen seien nicht im Sinne des Enteignungs- und des Umweltschutzgesetzes. a) Ergeben sich aus der Art der Bewirtschaftung oder Nutzung eines Grundstückes übermässige Einwirkungen auf benachbarte Liegenschaften, so können sich deren Eigentümer gestützt auf das in Art. 684 ZGB enthaltene Immissionsverbot mit den in Art. 679 ZGB genannten nachbarrechtlichen Klagen zur Wehr setzen. Daneben verpflichtet Art. 7 Abs. 3 des Bundesgesetzes vom 20. Juni 1930 über die Enteignung (Enteignungsgesetz, EntG; SR 711) den mit dem Enteignungsrecht ausgestatteten Anlageneigentümer, die geeigneten Vorkehren zu treffen, um die Öffentlichkeit und die benachbarten Grundstücke gegen Gefahren und Nachteile sicherzustellen, die mit der Erstellung und dem Betrieb seines Unternehmens notwendig verbunden und nicht nach Nachbarrecht zu dulden sind. Nach der bundesgerichtlichen Praxis, die durch den Entscheid Werren ( BGE 94 I 286 ) eingeleitet und seither in zahlreichen Urteilen bestätigt wurde, gelten die vom Strassenverkehr ausgehenden Immissionen als übermässig, wenn sie - kumulativ - für den Grundeigentümer nicht voraussehbar waren, ihn in spezieller Weise treffen und ihm einen schweren Schaden verursachen. Gehen von einem im öffentlichen Interesse liegenden Werk unvermeidbare übermässige Einwirkungen aus, werden die aus dem Nachbarrecht fliessenden Abwehrrechte des Betroffenen enteignet; der Nachbar kann nicht Beseitigung des Lärms verlangen, sondern nur eine Enteignungsentschädigung beanspruchen. Art. 5 Abs. 1 EntG lässt die Enteignung der aus dem Grundeigentum hervorgehenden Nachbarrechte ausdrücklich zu. Sie wird als zwangsweise Errichtung einer Dienstbarkeit auf dem Grundstück des Enteigneten zugunsten des Werkeigentümers verstanden, deren Inhalt in der Pflicht zur Duldung von Immissionen besteht ( BGE 123 II 481 E. 7; BGE 121 II 317 E. 4 und 5; BGE 119 Ib 348 E. 4b; BGE 116 Ib 11 E. 2a und 2b/aa). b) Die Wurzeln der Rechtsprechung zur Enteignung nachbarrechtlicher Abwehransprüche liegen im Nachbarrecht des Schweizerischen Zivilgesetzbuches (vgl. Christoph Zäch, Kommentar USG, N. 37 zu Art. 22), insbesondere in den Art. 679 und 684 ZGB . Sie regeln den privatrechtlichen Immissionsschutz ( BGE 106 Ib 231 E. 3a; Botschaft zum Umweltschutzgesetz: BBl 1979 III 764). Öffentlichrechtlicher Immissionsschutz war bei Erlass des ZGB zu Beginn dieses Jahrhunderts kaum ein Thema. Mit der fortschreitenden wirtschaftlichen Entwicklung und der damit einhergehenden BGE 123 II 560 S. 565 Belastung der Umwelt wurde der privatrechtliche Immissionsschutz durch öffentlichrechtliche Bestimmungen verstärkt. So erliessen zunächst die Kantone für die einzelnen (Bau-)Zonen Vorschriften über zulässige und verbotene Einwirkungen (NICCOLÒ RASELLI, Berührungspunkte des privaten und öffentlichen Immissionsschutzes, URP 1997 S. 274 ff.). Wegen der starken Zunahme der Mobilität seit 1945 zeigte sich überdies, dass weder die Immissionsschutzvorschriften des ZGB noch diejenigen des kantonalen Bau- und Planungsrechtes genügen, um Lärmbelastungen wirksam zu bekämpfen (Botschaft des Bundesrates zu Art. 24septies BV , BBl 1970 I/2 764 und 769 f.). Eine einheitliche und eingehende Regelung des Lärmschutzes auf Bundesebene erwies sich als notwendig. Mit Art. 24septies BV , der in Abs. 1 Satz 2 die Lärmbekämpfung als eine Schwerpunktaufgabe bezeichnet, und mit dem Umweltschutzgesetz wurde der Lärmschutz auf neue Rechtsgrundlagen gestellt. Ziel der entsprechenden Regeln ist es, Lärmbegrenzungen möglichst umfassend bereits an der Quelle greifen zu lassen. Bei neuen Anlagen soll Lärm jedenfalls nicht über gewisse Schwellenwerte hinaus toleriert werden; gegebenenfalls sind Schutzmassnahmen zugunsten der Betroffenen anzuordnen ( Art. 19-25 USG ; Näheres auch in BBl 1979 III 789ff.). Für bestehende Anlagen, welche die Immissionsgrenzwerte übersteigen, besteht eine Sanierungspflicht ( Art. 16-18 USG , Art. 13-20 LSV ; BGE 122 II 33 E. 3c). c) Das Eigentum ist verfassungsrechtlich gewährleistet ( Art. 22ter BV ). Für die Bestimmung des Eigentumsinhaltes knüpft die Bundesverfassung an die herkömmlichen Formen der Sachherrschaft, namentlich an den privatrechtlichen Eigentumsbegriff an. Bund und Kantone können jedoch im Rahmen ihrer verfassungsmässigen Befugnisse auf dem Wege der Gesetzgebung im öffentlichen Interesse die Enteignung oder Eigentumsbeschränkungen vorsehen ( Art. 22ter Abs. 2 BV ). Anpassungen des Eigentumsinhaltes an veränderte Verhältnisse und gewandelte Auffassungen sind damit verfassungsrechtlich zulässig (GEORG MÜLLER in Kommentar BV, Art. 22ter, Rz. 1; eingehend zur Eigentumsgarantie als durch die Gesetzgebung konkretisierungsbedürftiges Grundrecht und zum Verhältnis zwischen Bestimmung des Eigentumsinhaltes und der Festlegung von Eigentumsschranken: GEORG MÜLLER, Privateigentum heute, ZSR 1981 II 48 ff.). In Übereinstimmung mit der verfassungsrechtlichen Ordnung hält Art. 641 ZGB fest, dass sich der Inhalt des Eigentums aus den Schranken der Rechtsordnung ergibt. Trotz gleichbleibender privatrechtlicher Regelung kann sich somit BGE 123 II 560 S. 566 - bedingt durch die fortwährende Änderung des öffentlichen Rechts - der Eigentumsinhalt wandeln (Robert Haab/August Simonius/Werner Scherrer/Dieter Zobl, Zürcher Kommentar zum ZGB, N. 1 zu Art. 641). Eine neue Inhaltsbestimmung des Eigentums ergab sich nach Auffassung von Arthur Meier-Hayoz (Berner Kommentar zum ZGB, N. 115 zu Art. 684) unter anderem aus den vorstehend (E. 3b) erwähnten, in den kantonalen Zonenordnungen oder an anderer Stelle des kantonalen Bau- und Planungsrechtes verankerten öffentlichrechtlichen Immissionsschutzvorschriften. Die gleiche Tragweite kommt nach Meinung weiterer Autoren und des Bundesgerichtes der Neuordnung des Bodenrechtes durch Art. 22quater BV und das Bundesgesetz über die Raumplanung vom 22. Juni 1979 (Raumplanungsgesetz, RPG; SR 700) zu ( BGE 122 II 326 E. 4a; BGE 118 Ib 38 E. 2a; BGE 114 Ib 100 E. 3c und BGE 114 Ib 301 E. 3c; HEINZ REY, Die Grundlagen des Sachenrechts und das Eigentum, Bern 1991, S. 8 f.; ENRICO RIVA, Hauptfragen der materiellen Enteignung, Bern 1990, S. 178; MARTIN LENDI, Planungsrecht und Eigentum, ZSR 1976 I 142). Verhält es sich so, muss jedenfalls auch den Bestimmungen des Umweltschutzgesetzes über den Lärm- bzw. den Immissionsschutz, zu dem die Sanierungsvorschriften zählen ( Art. 11-25 USG ), die gleiche inhaltsbestimmende Bedeutung zukommen (so ausdrücklich GEORG MÜLLER, Privateigentum heute, a.a.O., S. 84 ff.). Denn seit Erlass des Umweltschutzgesetzes sind die genannten öffentlichrechtlichen Immissionsschutzvorschriften des kantonalen Bau- und Planungsrechtes weitgehend durch das Umweltschutzgesetz ersetzt worden bzw. hat das kantonale Recht seine eigenständige Bedeutung verloren, soweit sein materieller Gehalt sich mit dem Bundesrecht deckt oder weniger weit geht als dieses ( BGE 118 Ia 112 E. 1b; 118 Ib 590 E. 3). d) Nach ausdrücklicher Bestimmung von Art. 5 EntG können neben anderen dinglichen Rechten an Grundstücken auch die aus dem Grundeigentum hervorgehenden Nachbarrechte Gegenstand der Enteignung bilden ( Art. 5 Abs. 1 EntG ; BGE 123 II 481 E. 7a; vgl. BGE 106 Ib 231 E. 3b/bb und cc, wo die Frage aufgeworfen wurde, ob auch für die Abweichung von öffentlichrechtlichen Bestimmungen ein Enteignungsverfahren durchzuführen sei, was für die Abweichung von gemischt-rechtlichen bzw. Doppelnormen bejaht wurde). Die Enteignungspraxis wurde von der vorstehend dargestellten Rechtsfortbildung ebenfalls erfasst. So führte vor allem die Umweltschutzgesetzgebung des Bundes im Zusammenhang BGE 123 II 560 S. 567 mit der Enteignung nachbarrechtlicher Abwehransprüche zu neuen Fragestellungen (vgl. ALAIN WURZBURGER, De quelques incidences de la loi fédérale sur la protection de l'environnement sur le droit privé, in: Verfassungsrechtsprechung und Verwaltungsrechtsprechung, Zürich 1992, S. 183 ff.). Das Bundesgericht verschloss sich ihnen nicht. In drei Punkten bestand Anlass zur Präzisierung der Rechtsprechung. aa) Im nicht veröffentlichten Entscheid vom 12. Juni 1989 i.S. Basel-Stadt (E. 3) hielt das Bundesgericht fest, die sachliche Zuständigkeit der Eidg. Schätzungskommission sei gegeben, wenn ein mit dem Enteignungsrecht ausgestattetes Unternehmen Rechte entziehe oder beschränke, die Enteignungsobjekte bildeten. Nachbarrechte könnten gemäss Art. 5 EntG Gegenstand der Enteignung sein. Gingen Immissionen von einem Werk aus, für das dem Werkeigentümer das Enteignungsrecht zustehe, könne der Geschädigte gestützt auf Art. 5 EntG auf dem Enteignungsweg eine Entschädigung verlangen, worüber der Enteignungsrichter entscheide. Die damaligen Gesuchsteller hatten sich zur Begründung ihrer Entschädigungsforderung auf das Enteignungsgesetz berufen und sich bewusst an den Enteignungsrichter gewandt. Das Bundesgericht stellte klar, die Eidg. Schätzungskommission habe nicht darüber zu befinden, ob die Gesuchsteller auch gestützt auf das Umweltschutzgesetz Ansprüche erheben könnten, wenn sich die enteignungsrechtlichen Entschädigungsforderungen als unbegründet erwiesen. In BGE 116 Ib 11 (E. 3b) und BGE 119 Ib 348 (E. 6c) wurden diese Grundsätze bestätigt. Ergänzend wurde festgehalten, das Enteignungsgesetz und das Umweltschutzgesetz wiesen Berührungspunkte auf, doch verfolgten sie grundsätzlich verschiedene Zwecke. Während das Umweltschutzgesetz Menschen, Tiere und Pflanzen gegen schädliche oder lästige Einwirkungen schützen wolle ( Art. 1 Abs. 1 USG ), ermögliche das Enteignungsgesetz dem Gemeinwesen, sich die zur Erfüllung seiner Aufgaben notwendigen Güter zwangsweise zu beschaffen und allfällige Hindernisse zu beseitigen ( Art. 1 EntG ; BGE 116 Ib 11 E. 3b). Dazu führte das Bundesgericht in BGE 119 Ib 348 (E. 6c/bb) weiter aus, der Bundesgesetzgeber habe mit Art. 5 und 18 EntG (Entschädigung in Form von Sachleistungen) die geeigneten Rechtsinstrumente geschaffen, damit einerseits der so erlittene finanzielle Schaden mittels Geld behoben und anderseits das Wohlbefinden nicht nur der Eigentümer, sondern auch der Bevölkerung im allgemeinen geschützt werden könne. In BGE 121 II 317 ergänzte das Bundesgericht, dass auch nach Inkrafttreten BGE 123 II 560 S. 568 des Umweltschutzgesetzes Art. 5 EntG anzuwenden sei. Nur die Anwendung der Bestimmungen über die Enteignung der nachbarrechtlichen Abwehransprüche ermögliche es den betroffenen Eigentümern, Schadenersatz zu erhalten. bb) Hinsichtlich der Voraussetzungen für die Zusprechung einer Entschädigung für die Enteignung nachbarrechtlicher Abwehransprüche (Unvorhersehbarkeit, Spezialität und Schwere der vom Strassenverkehr ausgehenden Beeinträchtigungen; vorstehende E. 3a) stellte das Bundesgericht in BGE 116 Ib 11 (E. 3a) klar, dass eine Überschreitung der in den Anhängen zur Lärmschutz-Verordnung festgelegten Alarmwerte nicht auf die Unvorhersehbarkeit von Immissionen schliessen lasse. Die Alarmwerte könnten - wenn überhaupt - nur im Zusammenhang mit der Voraussetzung der Spezialität und allenfalls bei der Bemessung des Schadens berücksichtigt werden. Seit BGE 119 Ib 348 (E. 5b/cc) gilt der Immissionsgrenzwert für Lärm nach Anhang 3 zur Lärmschutz-Verordnung als Schwelle, jenseits der das Erfordernis der Spezialität bei Strassenlärm erfüllt ist (im gleichen Sinne BGE 121 II 317 E. 5 und 6 bei Fluglärm; hinsichtlich der Anwendung des Kriteriums der Spezialität, wenn im Anhang zur Lärmschutz-Verordnung keine Immissionsgrenzwerte festgelegt worden sind: BGE 119 Ib 348 E. 8; vgl. auch BGE 122 II 337 E. 3a). cc) Eine weitere Klarstellung erfolgte hinsichtlich der Art einer zu bezahlenden Enteignungsentschädigung. Grundsätzlich ist sie in Geld zu leisten ( Art. 17 EntG ). Der Enteignungsrichter ist jedoch gehalten, eine Sachleistung ( Art. 18 EntG ) in Form von Schallschutzmassnahmen an Gebäuden zuzusprechen, wenn durch eine solche, von der Umweltschutzgesetzgebung ausdrücklich vorgesehene Massnahme (vgl. Art. 20 USG ) die vom Enteigneten erlittenen Nachteile ganz oder teilweise behoben und gleichzeitig Personen, die in einem den Immissionen ausgesetzten Gebäude wohnen (Mieter, Pächter), wirksam in ihrem Wohlbefinden geschützt werden können ( BGE 122 II 337 E. 4b; BGE 121 II 350 E. 7; BGE 119 Ib 348 E. 6). e) Aus der zitierten Rechtsprechung lässt sich nicht ableiten, dass die Sanierungspflicht einer Anlage einem enteignungsrechtlichen Entschädigungsanspruch zum vornherein entgegensteht. Diese Frage war noch gar nie zu prüfen. Sie wirft eine Reihe von Problemen auf. Aufgrund der gegebenen tatsächlichen Ausgangslage brauchen hier freilich nicht alle denkbaren Sachverhaltsvarianten beurteilt zu werden. Vorliegend geht es um eine öffentliche Anlage, von welcher feststeht, dass sie jedenfalls seit Beginn der neunziger Jahre und BGE 123 II 560 S. 569 damit nach Inkrafttreten des Umweltschutzgesetzes Immissionen bewirkt, welche die Sanierungs- und allenfalls eine Entschädigungspflicht begründen. Ob die Voraussetzungen für die Zusprechung einer Enteignungsentschädigung tatsächlich gegeben sind, ist im folgenden zu prüfen.</w:t>
      </w:r>
    </w:p>
    <w:p>
      <w:r>
        <w:rPr>
          <w:b/>
        </w:rPr>
        <w:t>E. 4</w:t>
      </w:r>
    </w:p>
    <w:p>
      <w:r>
        <w:t>a) Die A2 im Bereiche des Südportales des Sonnenbergtunnels ist sanierungspflichtig. Am Augenschein, an welchem sich die bundesgerichtliche Delegation über das Ausmass der aktuellen Lärmbelastung eingehend ins Bild setzen konnte, wurde das seitens der Vertreter des Kantons Luzern vorbehaltlos bestätigt. Sie haben bei dieser Gelegenheit nicht nur auf die verschiedenen vom Kanton bisher erarbeiteten Sanierungsprojekte hingewiesen, sondern auch den Willen des Kantons betont, die Sanierung innert der gesetzlichen Frist bis zum 1. April 2002 in Angriff zu nehmen, sofern die zuständigen Bundesstellen grünes Licht geben und dem Sanierungsprojekt von den Nachbarn nicht Opposition erwächst. Dass Altanlagen erheblich zur Lärmbelastung beitragen, war bei Erlass des Umweltschutzgesetzes klar. Zur Durchsetzung des in der Bundesverfassung hervorgehobenen öffentlichen Interesses an einem wirksamen Lärmschutz ( Art. 24septies Abs. 1 Satz 2 BV ) wurden daher die Anlageninhaber verpflichtet, ihre Anlagen den Anforderungen der Umweltschutzgesetzgebung anzupassen ( Art. 16 USG ; ANDRÉ SCHRADE, Kommentar USG, N. 1 ff. Vorbemerkungen zu Art. 16-18). Nur damit kann der Schutz vor schädlichen oder lästigen Einwirkungen ( Art. 24septies Abs. 1 Satz 1 BV ) erreicht werden. Die Zahlung einer blossen Enteignungsentschädigung für die Duldung von Lärm führt naturgemäss nicht zum angestrebten Verfassungsziel. Dementsprechend kann den enteignungsrechtlichen Ansprüchen in Sachverhalten, wie sie hier vorliegen, keine prioritäre Bedeutung, sondern allenfalls ergänzende Funktion zukommen. Sinngemäss trug das Bundesgericht dieser Prioritätenordnung bereits im Zusammenhang mit der Frage, in welcher Form eine Enteignungsentschädigung auszurichten ist, seit BGE 119 Ib 348 Rechnung (bestätigt in BGE 121 II 350 E. 7 und BGE 122 II 337 E. 4b und E. 8). Es hielt - wie gesagt - den Enteignungsrichter an, eine Sachleistung in Form von Schallschutzmassnahmen an bestehenden Gebäuden anzuordnen, wenn dadurch die vom Enteigneten erlittenen Nachteile ganz oder teilweise behoben und gleichzeitig Personen, die in einem den Immissionen ausgesetzten Gebäude wohnen (Mieter, Pächter), wirksam in ihrem Wohlbefinden geschützt werden können. Aus ähnlichen Überlegungen verpflichtet das 1930 BGE 123 II 560 S. 570 erlassene Enteignungsgesetz den Enteigner, die geeigneten Vorkehren zu treffen, um die Öffentlichkeit und die benachbarten Grundstücke gegen Gefahren und Nachteile sicherzustellen, die mit der Erstellung und dem Betrieb seines Unternehmens notwendig verbunden und nicht nach Nachbarrecht zu dulden sind ( Art. 7 Abs. 3 EntG ; HEINZ HESS/HEINRICH WEIBEL, Das Enteignungsrecht des Bundes, Bd. I, Bern 1986, N. 38 ff. zu Art. 7). b) aa) Art. 16 Abs. 2 USG ermächtigt den Bundesrat, Sanierungsfristen festzulegen. Gestützt auf diese Kompetenz legte er in Art. 17 Abs. 2 LSV die Frist für die lärmschutzrechtliche Sanierung auf den 1. April 2002 fest. Bis zu diesem Zeitpunkt muss die A2 im Bereiche des Sonnenbergtunnels die IGW einhalten, sofern keine Erleichterungen gewährt werden. Die im Umweltschutzgesetz vorgesehene Möglichkeit, Sanierungsfristen festzusetzen, soll es den Anlageninhabern ermöglichen, sich auf die Anforderungen der mit dem Umweltschutzgesetz eingeführten neuen Rechtslage einzustellen und innerhalb einer als angemessen betrachteten Zeitspanne die notwendigen Dispositionen zu treffen (SCHRADE, a.a.O., N. 1 ff. und N. 37 zu Art. 16). Es war dem Gesetzgeber mithin bewusst, dass sachgerechte Sanierungen unter Umständen nicht ohne erheblichen Zeit- und Planungsaufwand zu verwirklichen sind (vgl. Art. 17 Abs. 1 und 2 LSV ). Die Enteignungspraxis muss dieser - wie gesagt auch für die Bestimmung des Eigentumsinhaltes massgebenden - umweltschutzrechtlichen Rechtslage im Interesse einer greifbaren Verbesserung der Lärmsituation Rechnung tragen. Wenn das Umweltschutzrecht des Bundes festlegt, dass ein Nachbar einer öffentlichen Anlage Immissionen über dem IGW jedenfalls während der vom Bundesrat kompetenzgemäss festgelegten Sanierungsfrist zu dulden hat, kann der Betreiber einer öffentlichen Anlage vor Ablauf dieser Frist grundsätzlich nicht zu einer Enteignungsentschädigung verpflichtet werden (zur Pflicht, Einwirkungen öffentlicher Anlagen unter gewissen Voraussetzungen entschädigungslos zu dulden: REY, a.a.O., S. 10 f.; GEORG MÜLLER in Kommentar BV, Art. 22ter BV , Rz. 64; RIVA, a.a.O., S. 276, weist darauf hin, dass sich bereits aus dem Zusammenspiel von Art. 22ter Abs. 2 und 3 BV ergebe, dass jedenfalls ein gewisses Mass an Eigentumsbeeinträchtigungen entschädigungslos hingenommen werden müssten). Wollte man es anders halten, würden gerade bei öffentlichen Anlagen die Sanierungsbestrebungen unnötigerweise erschwert, was nicht im Interesse der betroffenen Nachbarn liegt. BGE 123 II 560 S. 571 bb) Aus ähnlichen Überlegungen liess das Bundesgericht bereits vor Inkrafttreten des Umweltschutzgesetzes Entschädigungen für die Enteignung nachbarrechtlicher Abwehransprüche im Falle einer sanierungspflichtigen Strassenanlage nur in engen Grenzen zu. Im nicht publizierten Urteil vom 16. Juli 1984 i.S. Staat Bern (E. 4a) hielt es fest, gleich wie bei entschädigungslos zu duldenden vorübergehenden Störungen, die sich aus Bauarbeiten auf den Nachbarparzellen ergäben, sei bei einer nachträglich sanierten Nationalstrasse eine enteignungsrechtliche Entschädigung für die Duldung von Immissionen bis zur Sanierung nur zu leisten, wenn die Einwirkungen ihrer Art, Stärke und Dauer nach aussergewöhnlich seien. Seit Erlass der Umweltschutzgesetzgebung muss sich das Kriterium der Dauer der Einwirkungen nach den Sanierungsvorschriften im Umweltschutzgesetz und in der Lärmschutz-Verordnung richten. Solange die Sanierungsfrist noch läuft, kann im allgemeinen nicht gesagt werden, die Einwirkungen seien im enteignungsrechtlich relevanten Sinne ihrer Dauer nach aussergewöhnlich. Ähnlich verhält es sich übrigens bei gewissen Tatbeständen der vorübergehenden Enteignung im Sinne von Art. 6 EntG (vgl. Urteil des Bundesgerichtes vom 4. Juli 1984, in ZBl 87/1986 S. 76; BGE 109 Ib 268 ). c) All diese Erwägungen führen zur Abweisung des Entschädigungsbegehrens, ohne dass im heutigen Zeitpunkt zu entscheiden wäre, wie sich die Rechtslage ausnimmt, wenn die Sanierungsfrist überschritten würde oder eine Sanierung nur mit Erleichterungen möglich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